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6F" w:rsidRPr="00A66FC3" w:rsidRDefault="00C41F6F" w:rsidP="00813B5E">
      <w:pPr>
        <w:autoSpaceDE w:val="0"/>
        <w:autoSpaceDN w:val="0"/>
        <w:rPr>
          <w:rFonts w:ascii="Arial" w:hAnsi="Arial" w:cs="Arial"/>
          <w:b/>
          <w:bCs/>
          <w:color w:val="31849B" w:themeColor="accent5" w:themeShade="BF"/>
          <w:sz w:val="36"/>
          <w:szCs w:val="36"/>
        </w:rPr>
      </w:pPr>
      <w:r w:rsidRPr="00A66FC3">
        <w:rPr>
          <w:rFonts w:ascii="Arial" w:hAnsi="Arial" w:cs="Arial"/>
          <w:b/>
          <w:bCs/>
          <w:color w:val="31849B" w:themeColor="accent5" w:themeShade="BF"/>
          <w:sz w:val="36"/>
          <w:szCs w:val="36"/>
          <w:rtl/>
        </w:rPr>
        <w:t>הוראת</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שעה</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לחלוקת</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דיבידנד</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לבעל</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מניות</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מהותי</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בתקופה</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שמיום</w:t>
      </w:r>
      <w:r w:rsidRPr="00A66FC3">
        <w:rPr>
          <w:rFonts w:ascii="Arial" w:hAnsi="Arial" w:cs="Arial"/>
          <w:b/>
          <w:bCs/>
          <w:color w:val="31849B" w:themeColor="accent5" w:themeShade="BF"/>
          <w:sz w:val="36"/>
          <w:szCs w:val="36"/>
        </w:rPr>
        <w:t xml:space="preserve"> 1.1.17 </w:t>
      </w:r>
      <w:r w:rsidRPr="00A66FC3">
        <w:rPr>
          <w:rFonts w:ascii="Arial" w:hAnsi="Arial" w:cs="Arial"/>
          <w:b/>
          <w:bCs/>
          <w:color w:val="31849B" w:themeColor="accent5" w:themeShade="BF"/>
          <w:sz w:val="36"/>
          <w:szCs w:val="36"/>
          <w:rtl/>
        </w:rPr>
        <w:t>עד</w:t>
      </w:r>
      <w:r w:rsidRPr="00A66FC3">
        <w:rPr>
          <w:rFonts w:ascii="Arial" w:hAnsi="Arial" w:cs="Arial"/>
          <w:b/>
          <w:bCs/>
          <w:color w:val="31849B" w:themeColor="accent5" w:themeShade="BF"/>
          <w:sz w:val="36"/>
          <w:szCs w:val="36"/>
        </w:rPr>
        <w:t xml:space="preserve"> 30.9.17 </w:t>
      </w:r>
      <w:r w:rsidRPr="00A66FC3">
        <w:rPr>
          <w:rFonts w:ascii="Arial" w:hAnsi="Arial" w:cs="Arial"/>
          <w:b/>
          <w:bCs/>
          <w:color w:val="31849B" w:themeColor="accent5" w:themeShade="BF"/>
          <w:sz w:val="36"/>
          <w:szCs w:val="36"/>
          <w:rtl/>
        </w:rPr>
        <w:t>בשיעור</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מס</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מופחת של</w:t>
      </w:r>
      <w:r w:rsidRPr="00A66FC3">
        <w:rPr>
          <w:rFonts w:ascii="Arial" w:hAnsi="Arial" w:cs="Arial"/>
          <w:b/>
          <w:bCs/>
          <w:color w:val="31849B" w:themeColor="accent5" w:themeShade="BF"/>
          <w:sz w:val="36"/>
          <w:szCs w:val="36"/>
        </w:rPr>
        <w:t xml:space="preserve"> 25% </w:t>
      </w:r>
      <w:r w:rsidRPr="00A66FC3">
        <w:rPr>
          <w:rFonts w:ascii="Arial" w:hAnsi="Arial" w:cs="Arial"/>
          <w:b/>
          <w:bCs/>
          <w:color w:val="31849B" w:themeColor="accent5" w:themeShade="BF"/>
          <w:sz w:val="36"/>
          <w:szCs w:val="36"/>
          <w:rtl/>
        </w:rPr>
        <w:t>כולל</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מס</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יסף</w:t>
      </w:r>
      <w:r w:rsidRPr="00A66FC3">
        <w:rPr>
          <w:rFonts w:ascii="Arial" w:hAnsi="Arial" w:cs="Arial"/>
          <w:b/>
          <w:bCs/>
          <w:color w:val="31849B" w:themeColor="accent5" w:themeShade="BF"/>
          <w:sz w:val="36"/>
          <w:szCs w:val="36"/>
        </w:rPr>
        <w:t xml:space="preserve"> </w:t>
      </w:r>
      <w:r w:rsidRPr="00A66FC3">
        <w:rPr>
          <w:rFonts w:ascii="Arial" w:hAnsi="Arial" w:cs="Arial"/>
          <w:b/>
          <w:bCs/>
          <w:color w:val="31849B" w:themeColor="accent5" w:themeShade="BF"/>
          <w:sz w:val="36"/>
          <w:szCs w:val="36"/>
          <w:rtl/>
        </w:rPr>
        <w:t> </w:t>
      </w:r>
    </w:p>
    <w:p w:rsidR="00C41F6F" w:rsidRDefault="00C41F6F" w:rsidP="00C41F6F">
      <w:pPr>
        <w:autoSpaceDE w:val="0"/>
        <w:autoSpaceDN w:val="0"/>
        <w:rPr>
          <w:rFonts w:ascii="Arial" w:hAnsi="Arial" w:cs="Arial"/>
        </w:rPr>
      </w:pPr>
    </w:p>
    <w:p w:rsidR="00C41F6F" w:rsidRDefault="00C41F6F" w:rsidP="00C41F6F">
      <w:pPr>
        <w:pStyle w:val="NormalWeb"/>
        <w:bidi/>
        <w:rPr>
          <w:rFonts w:ascii="Arial" w:hAnsi="Arial" w:cs="Arial"/>
          <w:color w:val="1F497D"/>
          <w:sz w:val="22"/>
          <w:szCs w:val="22"/>
        </w:rPr>
      </w:pPr>
    </w:p>
    <w:p w:rsidR="00C41F6F" w:rsidRDefault="00C41F6F" w:rsidP="00C41F6F">
      <w:pPr>
        <w:pStyle w:val="NormalWeb"/>
        <w:bidi/>
        <w:rPr>
          <w:rFonts w:ascii="Arial" w:hAnsi="Arial" w:cs="Arial"/>
          <w:color w:val="1F497D"/>
          <w:sz w:val="22"/>
          <w:szCs w:val="22"/>
          <w:rtl/>
        </w:rPr>
      </w:pPr>
    </w:p>
    <w:p w:rsidR="00C41F6F" w:rsidRDefault="00C41F6F" w:rsidP="00C41F6F">
      <w:pPr>
        <w:pStyle w:val="NormalWeb"/>
        <w:bidi/>
        <w:rPr>
          <w:rFonts w:ascii="Arial" w:hAnsi="Arial" w:cs="Arial"/>
          <w:sz w:val="28"/>
          <w:szCs w:val="28"/>
          <w:rtl/>
        </w:rPr>
      </w:pPr>
      <w:r>
        <w:rPr>
          <w:rFonts w:ascii="Arial" w:hAnsi="Arial" w:cs="Arial"/>
          <w:sz w:val="28"/>
          <w:szCs w:val="28"/>
          <w:rtl/>
        </w:rPr>
        <w:t>חלוקת הדיבידנד תתאפשר בתנאים הבאים:</w:t>
      </w:r>
    </w:p>
    <w:p w:rsidR="00C41F6F" w:rsidRDefault="00C41F6F" w:rsidP="00C41F6F">
      <w:pPr>
        <w:pStyle w:val="NormalWeb"/>
        <w:bidi/>
        <w:rPr>
          <w:rFonts w:ascii="Arial" w:hAnsi="Arial" w:cs="Arial"/>
          <w:sz w:val="28"/>
          <w:szCs w:val="28"/>
        </w:rPr>
      </w:pPr>
      <w:r>
        <w:rPr>
          <w:rFonts w:ascii="Arial" w:hAnsi="Arial" w:cs="Arial"/>
          <w:sz w:val="28"/>
          <w:szCs w:val="28"/>
          <w:rtl/>
        </w:rPr>
        <w:br/>
        <w:t>1. שיעור המס על הכנסה מדיבידנד בידי יחיד בעל מניות מהותי, או בידי חברה משפחתית שהנישום הוא בעל מניות מהותי בה, שמקורו ברווחים שנצברו עד ליום 31 בדצמבר 2016, יהיה 25%, ולא יחול על הדיבידנד מס יסף ובלבד שמתקיימים כל אלה:</w:t>
      </w:r>
    </w:p>
    <w:p w:rsidR="00C41F6F" w:rsidRDefault="00C41F6F" w:rsidP="00C41F6F">
      <w:pPr>
        <w:pStyle w:val="NormalWeb"/>
        <w:bidi/>
        <w:rPr>
          <w:rFonts w:ascii="Arial" w:hAnsi="Arial" w:cs="Arial"/>
          <w:sz w:val="28"/>
          <w:szCs w:val="28"/>
        </w:rPr>
      </w:pPr>
      <w:r>
        <w:rPr>
          <w:rFonts w:ascii="Arial" w:hAnsi="Arial" w:cs="Arial"/>
          <w:sz w:val="28"/>
          <w:szCs w:val="28"/>
          <w:rtl/>
        </w:rPr>
        <w:br/>
        <w:t>א. ההכנסה מדיבידנד שולמה על ידי החברה מחלקת הדיבידנד והתקבלה מיום 1 בינואר 2017 ועד ליום 30 בספטמבר 2017.</w:t>
      </w:r>
      <w:r>
        <w:rPr>
          <w:rFonts w:ascii="Arial" w:hAnsi="Arial" w:cs="Arial"/>
          <w:sz w:val="28"/>
          <w:szCs w:val="28"/>
          <w:rtl/>
        </w:rPr>
        <w:br/>
        <w:t>ב. בכל אחת משנות המס 2017-2019 הסכום הכולל של הכנסת עבודה, דמי ניהול, הפרשי הצמדה או ריבית ותשלומים אחרים ששולמו למקבל ההכנסה מדיבידנד על ידי החברה, במישרין או בעקיפין, בהפחתת ההכנסה מדיבידנד שחויבה במס מוטב, לא פחת ממוצע סכום התשלומים כאמור ששולמו לו על ידי החברה האמורה, במישרין או בעקיפין, בשנות המס 2015 ו- 2016.</w:t>
      </w:r>
    </w:p>
    <w:p w:rsidR="00C41F6F" w:rsidRDefault="00C41F6F" w:rsidP="00C41F6F">
      <w:pPr>
        <w:pStyle w:val="NormalWeb"/>
        <w:bidi/>
        <w:rPr>
          <w:rFonts w:ascii="Arial" w:hAnsi="Arial" w:cs="Arial"/>
          <w:sz w:val="28"/>
          <w:szCs w:val="28"/>
        </w:rPr>
      </w:pPr>
      <w:r>
        <w:rPr>
          <w:rFonts w:ascii="Arial" w:hAnsi="Arial" w:cs="Arial"/>
          <w:sz w:val="28"/>
          <w:szCs w:val="28"/>
          <w:rtl/>
        </w:rPr>
        <w:br/>
        <w:t>2. הוראות סעיף 92(א)(4)(ב) – המאפשר קיזוז הפסד הון מניירות ערך כנגד דיבידנד – לא יחולו על הדיבידנד המוטב שחולק כאמור ולא ניתן לקזז כנגד הכנסה זו הפסדי הון כאמור.</w:t>
      </w:r>
    </w:p>
    <w:p w:rsidR="00C41F6F" w:rsidRDefault="00C41F6F" w:rsidP="00C41F6F">
      <w:pPr>
        <w:pStyle w:val="NormalWeb"/>
        <w:bidi/>
        <w:rPr>
          <w:rFonts w:ascii="Arial" w:hAnsi="Arial" w:cs="Arial"/>
          <w:sz w:val="28"/>
          <w:szCs w:val="28"/>
          <w:rtl/>
        </w:rPr>
      </w:pPr>
      <w:r>
        <w:rPr>
          <w:rFonts w:ascii="Arial" w:hAnsi="Arial" w:cs="Arial"/>
          <w:sz w:val="28"/>
          <w:szCs w:val="28"/>
          <w:rtl/>
        </w:rPr>
        <w:br/>
        <w:t>3. בהנחיות רשות המיסים נקבע כי:</w:t>
      </w:r>
    </w:p>
    <w:p w:rsidR="00C41F6F" w:rsidRDefault="00C41F6F" w:rsidP="00C41F6F">
      <w:pPr>
        <w:pStyle w:val="NormalWeb"/>
        <w:bidi/>
        <w:rPr>
          <w:rFonts w:ascii="Arial" w:hAnsi="Arial" w:cs="Arial"/>
          <w:sz w:val="28"/>
          <w:szCs w:val="28"/>
          <w:rtl/>
        </w:rPr>
      </w:pPr>
      <w:r>
        <w:rPr>
          <w:rFonts w:ascii="Arial" w:hAnsi="Arial" w:cs="Arial"/>
          <w:sz w:val="28"/>
          <w:szCs w:val="28"/>
          <w:rtl/>
        </w:rPr>
        <w:br/>
        <w:t>א. דיבידנד שחולק בשנים קודמות ינוטרל מסכום ההכנסה הכולל בשנים 2015 ו-2016 ולא תהיה חובה להמשיך לחלק אותו בשנות המס 2017-2019.</w:t>
      </w:r>
      <w:r>
        <w:rPr>
          <w:rFonts w:ascii="Arial" w:hAnsi="Arial" w:cs="Arial"/>
          <w:sz w:val="28"/>
          <w:szCs w:val="28"/>
          <w:rtl/>
        </w:rPr>
        <w:br/>
        <w:t>ב. הדיבידנד המוטב שיחולק, לא יובא בחשבון לעניין מס יסף בשנת 2017 גם בחישוב התקרה להכנסות אחרות.</w:t>
      </w:r>
    </w:p>
    <w:p w:rsidR="00C339B0" w:rsidRDefault="00A66FC3"/>
    <w:sectPr w:rsidR="00C339B0" w:rsidSect="007B42D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1F6F"/>
    <w:rsid w:val="00017D63"/>
    <w:rsid w:val="000B263D"/>
    <w:rsid w:val="00141303"/>
    <w:rsid w:val="00146D9C"/>
    <w:rsid w:val="00171F26"/>
    <w:rsid w:val="0023439D"/>
    <w:rsid w:val="00443AD9"/>
    <w:rsid w:val="004B71E3"/>
    <w:rsid w:val="004F3F24"/>
    <w:rsid w:val="005C371A"/>
    <w:rsid w:val="005E4526"/>
    <w:rsid w:val="00736D2B"/>
    <w:rsid w:val="00765198"/>
    <w:rsid w:val="0076700A"/>
    <w:rsid w:val="007B42D5"/>
    <w:rsid w:val="00813B5E"/>
    <w:rsid w:val="00832A09"/>
    <w:rsid w:val="00853776"/>
    <w:rsid w:val="008707B8"/>
    <w:rsid w:val="0088710B"/>
    <w:rsid w:val="0094708C"/>
    <w:rsid w:val="009C3CC0"/>
    <w:rsid w:val="00A044EB"/>
    <w:rsid w:val="00A66FC3"/>
    <w:rsid w:val="00A725E0"/>
    <w:rsid w:val="00A72730"/>
    <w:rsid w:val="00AE1590"/>
    <w:rsid w:val="00C41F6F"/>
    <w:rsid w:val="00D43575"/>
    <w:rsid w:val="00DB3B98"/>
    <w:rsid w:val="00DF261C"/>
    <w:rsid w:val="00F02732"/>
    <w:rsid w:val="00FB6D8B"/>
    <w:rsid w:val="00FF72D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F6F"/>
    <w:pPr>
      <w:bidi/>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C41F6F"/>
    <w:pPr>
      <w:bidi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1011</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haya</dc:creator>
  <cp:lastModifiedBy>haya</cp:lastModifiedBy>
  <cp:revision>3</cp:revision>
  <dcterms:created xsi:type="dcterms:W3CDTF">2017-05-28T09:42:00Z</dcterms:created>
  <dcterms:modified xsi:type="dcterms:W3CDTF">2017-05-28T11:37:00Z</dcterms:modified>
</cp:coreProperties>
</file>